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A410E" w14:textId="77777777" w:rsidR="00E63210" w:rsidRPr="007D3FA8" w:rsidRDefault="00000000">
      <w:pPr>
        <w:pStyle w:val="Heading1"/>
        <w:rPr>
          <w:color w:val="auto"/>
          <w:sz w:val="24"/>
          <w:szCs w:val="24"/>
        </w:rPr>
      </w:pPr>
      <w:r w:rsidRPr="007D3FA8">
        <w:rPr>
          <w:color w:val="auto"/>
          <w:sz w:val="24"/>
          <w:szCs w:val="24"/>
        </w:rPr>
        <w:t>ONE-PAGE JURY DAY CHECKLIST (PRO PER)</w:t>
      </w:r>
    </w:p>
    <w:p w14:paraId="008E8BA9" w14:textId="77777777" w:rsidR="00E63210" w:rsidRPr="007D3FA8" w:rsidRDefault="00000000">
      <w:pPr>
        <w:rPr>
          <w:sz w:val="24"/>
          <w:szCs w:val="24"/>
        </w:rPr>
      </w:pPr>
      <w:r w:rsidRPr="007D3FA8">
        <w:rPr>
          <w:sz w:val="24"/>
          <w:szCs w:val="24"/>
        </w:rPr>
        <w:t>☐ Case theory clear and under 60 seconds</w:t>
      </w:r>
      <w:r w:rsidRPr="007D3FA8">
        <w:rPr>
          <w:sz w:val="24"/>
          <w:szCs w:val="24"/>
        </w:rPr>
        <w:br/>
        <w:t>☐ Voir dire questions prepared</w:t>
      </w:r>
      <w:r w:rsidRPr="007D3FA8">
        <w:rPr>
          <w:sz w:val="24"/>
          <w:szCs w:val="24"/>
        </w:rPr>
        <w:br/>
        <w:t>☐ Evidence reviewed and understood</w:t>
      </w:r>
      <w:r w:rsidRPr="007D3FA8">
        <w:rPr>
          <w:sz w:val="24"/>
          <w:szCs w:val="24"/>
        </w:rPr>
        <w:br/>
        <w:t>☐ Cross-examination questions practiced</w:t>
      </w:r>
      <w:r w:rsidRPr="007D3FA8">
        <w:rPr>
          <w:sz w:val="24"/>
          <w:szCs w:val="24"/>
        </w:rPr>
        <w:br/>
        <w:t>☐ Objections limited and ready</w:t>
      </w:r>
      <w:r w:rsidRPr="007D3FA8">
        <w:rPr>
          <w:sz w:val="24"/>
          <w:szCs w:val="24"/>
        </w:rPr>
        <w:br/>
        <w:t>☐ Jury instructions reviewed</w:t>
      </w:r>
      <w:r w:rsidRPr="007D3FA8">
        <w:rPr>
          <w:sz w:val="24"/>
          <w:szCs w:val="24"/>
        </w:rPr>
        <w:br/>
        <w:t>☐ Closing argument prepared</w:t>
      </w:r>
      <w:r w:rsidRPr="007D3FA8">
        <w:rPr>
          <w:sz w:val="24"/>
          <w:szCs w:val="24"/>
        </w:rPr>
        <w:br/>
        <w:t>☐ Emotional control planned</w:t>
      </w:r>
      <w:r w:rsidRPr="007D3FA8">
        <w:rPr>
          <w:sz w:val="24"/>
          <w:szCs w:val="24"/>
        </w:rPr>
        <w:br/>
        <w:t>☐ Court attire and materials ready</w:t>
      </w:r>
      <w:r w:rsidRPr="007D3FA8">
        <w:rPr>
          <w:sz w:val="24"/>
          <w:szCs w:val="24"/>
        </w:rPr>
        <w:br/>
        <w:t>☐ Focus on State’s burden only</w:t>
      </w:r>
    </w:p>
    <w:sectPr w:rsidR="00E63210" w:rsidRPr="007D3FA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0673077">
    <w:abstractNumId w:val="8"/>
  </w:num>
  <w:num w:numId="2" w16cid:durableId="746027613">
    <w:abstractNumId w:val="6"/>
  </w:num>
  <w:num w:numId="3" w16cid:durableId="780615231">
    <w:abstractNumId w:val="5"/>
  </w:num>
  <w:num w:numId="4" w16cid:durableId="293565218">
    <w:abstractNumId w:val="4"/>
  </w:num>
  <w:num w:numId="5" w16cid:durableId="50351470">
    <w:abstractNumId w:val="7"/>
  </w:num>
  <w:num w:numId="6" w16cid:durableId="422841374">
    <w:abstractNumId w:val="3"/>
  </w:num>
  <w:num w:numId="7" w16cid:durableId="1081684086">
    <w:abstractNumId w:val="2"/>
  </w:num>
  <w:num w:numId="8" w16cid:durableId="587881947">
    <w:abstractNumId w:val="1"/>
  </w:num>
  <w:num w:numId="9" w16cid:durableId="1863009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D3FA8"/>
    <w:rsid w:val="007F42E5"/>
    <w:rsid w:val="00AA1D8D"/>
    <w:rsid w:val="00B47730"/>
    <w:rsid w:val="00CB0664"/>
    <w:rsid w:val="00E632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AAE250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2025-12-17T15:18:00Z</dcterms:created>
  <dcterms:modified xsi:type="dcterms:W3CDTF">2025-12-17T15:18:00Z</dcterms:modified>
  <cp:category/>
</cp:coreProperties>
</file>